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b/>
          <w:sz w:val="28"/>
          <w:szCs w:val="28"/>
        </w:rPr>
        <w:t>40 лет Октября, 6 кв. 2.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170158">
        <w:rPr>
          <w:rFonts w:ascii="Times New Roman" w:hAnsi="Times New Roman" w:cs="Times New Roman"/>
          <w:sz w:val="28"/>
          <w:szCs w:val="28"/>
        </w:rPr>
        <w:t>27,6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170158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170158" w:rsidRPr="00CA4377">
        <w:rPr>
          <w:rFonts w:ascii="Times New Roman" w:hAnsi="Times New Roman" w:cs="Times New Roman"/>
          <w:sz w:val="28"/>
          <w:szCs w:val="28"/>
        </w:rPr>
        <w:t>54:35:</w:t>
      </w:r>
      <w:r w:rsidR="00170158">
        <w:rPr>
          <w:rFonts w:ascii="Times New Roman" w:hAnsi="Times New Roman" w:cs="Times New Roman"/>
          <w:sz w:val="28"/>
          <w:szCs w:val="28"/>
        </w:rPr>
        <w:t>091877</w:t>
      </w:r>
      <w:r w:rsidR="00170158" w:rsidRPr="00CA4377">
        <w:rPr>
          <w:rFonts w:ascii="Times New Roman" w:hAnsi="Times New Roman" w:cs="Times New Roman"/>
          <w:sz w:val="28"/>
          <w:szCs w:val="28"/>
        </w:rPr>
        <w:t>:</w:t>
      </w:r>
      <w:r w:rsidR="00170158">
        <w:rPr>
          <w:rFonts w:ascii="Times New Roman" w:hAnsi="Times New Roman" w:cs="Times New Roman"/>
          <w:sz w:val="28"/>
          <w:szCs w:val="28"/>
        </w:rPr>
        <w:t>609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170158">
        <w:rPr>
          <w:rFonts w:ascii="Times New Roman" w:hAnsi="Times New Roman" w:cs="Times New Roman"/>
          <w:sz w:val="28"/>
          <w:szCs w:val="28"/>
        </w:rPr>
        <w:t>13</w:t>
      </w:r>
      <w:r w:rsidR="00170158" w:rsidRPr="00CA4377">
        <w:rPr>
          <w:rFonts w:ascii="Times New Roman" w:hAnsi="Times New Roman" w:cs="Times New Roman"/>
          <w:sz w:val="28"/>
          <w:szCs w:val="28"/>
        </w:rPr>
        <w:t>.</w:t>
      </w:r>
      <w:r w:rsidR="00170158">
        <w:rPr>
          <w:rFonts w:ascii="Times New Roman" w:hAnsi="Times New Roman" w:cs="Times New Roman"/>
          <w:sz w:val="28"/>
          <w:szCs w:val="28"/>
        </w:rPr>
        <w:t>12</w:t>
      </w:r>
      <w:r w:rsidR="00170158" w:rsidRPr="00CA4377">
        <w:rPr>
          <w:rFonts w:ascii="Times New Roman" w:hAnsi="Times New Roman" w:cs="Times New Roman"/>
          <w:sz w:val="28"/>
          <w:szCs w:val="28"/>
        </w:rPr>
        <w:t>.202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170158">
        <w:rPr>
          <w:rFonts w:ascii="Times New Roman" w:hAnsi="Times New Roman" w:cs="Times New Roman"/>
          <w:sz w:val="28"/>
          <w:szCs w:val="28"/>
        </w:rPr>
        <w:t>4421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170158">
        <w:rPr>
          <w:rFonts w:ascii="Times New Roman" w:hAnsi="Times New Roman" w:cs="Times New Roman"/>
          <w:sz w:val="28"/>
          <w:szCs w:val="28"/>
        </w:rPr>
        <w:t>1 967 000</w:t>
      </w:r>
      <w:r w:rsidR="00170158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170158">
        <w:rPr>
          <w:rFonts w:ascii="Times New Roman" w:hAnsi="Times New Roman" w:cs="Times New Roman"/>
          <w:sz w:val="28"/>
          <w:szCs w:val="28"/>
        </w:rPr>
        <w:t>один миллион</w:t>
      </w:r>
      <w:r w:rsidR="00170158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sz w:val="28"/>
          <w:szCs w:val="28"/>
        </w:rPr>
        <w:t>девятьсот шест</w:t>
      </w:r>
      <w:r w:rsidR="00170158">
        <w:rPr>
          <w:rFonts w:ascii="Times New Roman" w:hAnsi="Times New Roman" w:cs="Times New Roman"/>
          <w:sz w:val="28"/>
          <w:szCs w:val="28"/>
        </w:rPr>
        <w:t>ь</w:t>
      </w:r>
      <w:r w:rsidR="00170158">
        <w:rPr>
          <w:rFonts w:ascii="Times New Roman" w:hAnsi="Times New Roman" w:cs="Times New Roman"/>
          <w:sz w:val="28"/>
          <w:szCs w:val="28"/>
        </w:rPr>
        <w:t>десят семь тысяч</w:t>
      </w:r>
      <w:r w:rsidR="00170158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170158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sz w:val="28"/>
          <w:szCs w:val="28"/>
        </w:rPr>
        <w:t>98 350</w:t>
      </w:r>
      <w:r w:rsidR="00170158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170158">
        <w:rPr>
          <w:rFonts w:ascii="Times New Roman" w:hAnsi="Times New Roman" w:cs="Times New Roman"/>
          <w:sz w:val="28"/>
          <w:szCs w:val="28"/>
        </w:rPr>
        <w:t>девяносто восемь тысяч триста пятьдесят) ру</w:t>
      </w:r>
      <w:r w:rsidR="00170158">
        <w:rPr>
          <w:rFonts w:ascii="Times New Roman" w:hAnsi="Times New Roman" w:cs="Times New Roman"/>
          <w:sz w:val="28"/>
          <w:szCs w:val="28"/>
        </w:rPr>
        <w:t>б</w:t>
      </w:r>
      <w:r w:rsidR="00170158">
        <w:rPr>
          <w:rFonts w:ascii="Times New Roman" w:hAnsi="Times New Roman" w:cs="Times New Roman"/>
          <w:sz w:val="28"/>
          <w:szCs w:val="28"/>
        </w:rPr>
        <w:t>лей 00 копеек</w:t>
      </w:r>
      <w:r w:rsidR="00170158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170158">
        <w:rPr>
          <w:rFonts w:ascii="Times New Roman" w:hAnsi="Times New Roman" w:cs="Times New Roman"/>
          <w:sz w:val="28"/>
          <w:szCs w:val="28"/>
        </w:rPr>
        <w:t>196 700</w:t>
      </w:r>
      <w:r w:rsidR="00170158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170158">
        <w:rPr>
          <w:rFonts w:ascii="Times New Roman" w:hAnsi="Times New Roman" w:cs="Times New Roman"/>
          <w:sz w:val="28"/>
          <w:szCs w:val="28"/>
        </w:rPr>
        <w:t>сто девяносто шесть тысяч семьсот</w:t>
      </w:r>
      <w:r w:rsidR="00170158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170158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6D28F4">
        <w:rPr>
          <w:rFonts w:ascii="Times New Roman" w:hAnsi="Times New Roman" w:cs="Times New Roman"/>
          <w:bCs/>
          <w:sz w:val="28"/>
          <w:szCs w:val="28"/>
        </w:rPr>
        <w:t>13.10</w:t>
      </w:r>
      <w:r w:rsidR="006D28F4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6D28F4">
        <w:rPr>
          <w:rFonts w:ascii="Times New Roman" w:hAnsi="Times New Roman" w:cs="Times New Roman"/>
          <w:bCs/>
          <w:sz w:val="28"/>
          <w:szCs w:val="28"/>
        </w:rPr>
        <w:t>2</w:t>
      </w:r>
      <w:r w:rsidR="006D28F4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6D28F4">
        <w:rPr>
          <w:rFonts w:ascii="Times New Roman" w:hAnsi="Times New Roman" w:cs="Times New Roman"/>
          <w:bCs/>
          <w:sz w:val="28"/>
          <w:szCs w:val="28"/>
        </w:rPr>
        <w:t>07</w:t>
      </w:r>
      <w:r w:rsidR="006D28F4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6D28F4">
        <w:rPr>
          <w:rFonts w:ascii="Times New Roman" w:hAnsi="Times New Roman" w:cs="Times New Roman"/>
          <w:bCs/>
          <w:sz w:val="28"/>
          <w:szCs w:val="28"/>
        </w:rPr>
        <w:t>11</w:t>
      </w:r>
      <w:r w:rsidR="006D28F4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6D28F4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лей или нотариально заверенную копию такой выписки (для индивидуальных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DF5014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6D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6D28F4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D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D28F4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D28F4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6D28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E25105">
        <w:rPr>
          <w:rFonts w:ascii="Times New Roman" w:hAnsi="Times New Roman" w:cs="Times New Roman"/>
          <w:sz w:val="28"/>
          <w:szCs w:val="28"/>
        </w:rPr>
        <w:t>23</w:t>
      </w:r>
      <w:r w:rsidR="00E25105" w:rsidRPr="00434611">
        <w:rPr>
          <w:rFonts w:ascii="Times New Roman" w:hAnsi="Times New Roman" w:cs="Times New Roman"/>
          <w:sz w:val="28"/>
          <w:szCs w:val="28"/>
        </w:rPr>
        <w:t>.</w:t>
      </w:r>
      <w:r w:rsidR="00E25105">
        <w:rPr>
          <w:rFonts w:ascii="Times New Roman" w:hAnsi="Times New Roman" w:cs="Times New Roman"/>
          <w:sz w:val="28"/>
          <w:szCs w:val="28"/>
        </w:rPr>
        <w:t>11</w:t>
      </w:r>
      <w:r w:rsidR="00E25105" w:rsidRPr="00434611">
        <w:rPr>
          <w:rFonts w:ascii="Times New Roman" w:hAnsi="Times New Roman" w:cs="Times New Roman"/>
          <w:sz w:val="28"/>
          <w:szCs w:val="28"/>
        </w:rPr>
        <w:t>.202</w:t>
      </w:r>
      <w:r w:rsidR="00E25105">
        <w:rPr>
          <w:rFonts w:ascii="Times New Roman" w:hAnsi="Times New Roman" w:cs="Times New Roman"/>
          <w:sz w:val="28"/>
          <w:szCs w:val="28"/>
        </w:rPr>
        <w:t>2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7015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3F13EF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5F6779"/>
    <w:rsid w:val="00656E13"/>
    <w:rsid w:val="0066578E"/>
    <w:rsid w:val="006661F5"/>
    <w:rsid w:val="00666FFA"/>
    <w:rsid w:val="00670F40"/>
    <w:rsid w:val="00693674"/>
    <w:rsid w:val="006C5B17"/>
    <w:rsid w:val="006D28F4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81251C"/>
    <w:rsid w:val="00812EE9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A25F2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85FF1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DF5014"/>
    <w:rsid w:val="00DF7166"/>
    <w:rsid w:val="00E0144D"/>
    <w:rsid w:val="00E05622"/>
    <w:rsid w:val="00E22F6B"/>
    <w:rsid w:val="00E25105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E66F94-9A28-47FA-B9DD-8DA78892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7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105</cp:revision>
  <dcterms:created xsi:type="dcterms:W3CDTF">2021-04-20T03:57:00Z</dcterms:created>
  <dcterms:modified xsi:type="dcterms:W3CDTF">2022-10-12T06:38:00Z</dcterms:modified>
</cp:coreProperties>
</file>